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both"/>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2</w:t>
      </w:r>
    </w:p>
    <w:p>
      <w:pPr>
        <w:snapToGrid w:val="0"/>
        <w:spacing w:line="560" w:lineRule="exact"/>
        <w:ind w:firstLine="440" w:firstLineChars="100"/>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资格</w:t>
      </w:r>
      <w:r>
        <w:rPr>
          <w:rFonts w:hint="eastAsia" w:ascii="方正小标宋_GBK" w:hAnsi="方正小标宋_GBK" w:eastAsia="方正小标宋_GBK" w:cs="方正小标宋_GBK"/>
          <w:sz w:val="44"/>
          <w:szCs w:val="44"/>
          <w:lang w:eastAsia="zh-CN"/>
        </w:rPr>
        <w:t>证明文件</w:t>
      </w:r>
    </w:p>
    <w:p>
      <w:pPr>
        <w:snapToGrid w:val="0"/>
        <w:spacing w:line="560" w:lineRule="exact"/>
        <w:ind w:firstLine="482" w:firstLineChars="200"/>
        <w:rPr>
          <w:rFonts w:hint="eastAsia" w:ascii="方正仿宋_GBK" w:eastAsia="方正仿宋_GBK"/>
          <w:b/>
          <w:sz w:val="24"/>
          <w:szCs w:val="24"/>
          <w:lang w:eastAsia="zh-CN"/>
        </w:rPr>
      </w:pPr>
    </w:p>
    <w:tbl>
      <w:tblPr>
        <w:tblStyle w:val="2"/>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976"/>
        <w:gridCol w:w="5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676" w:type="dxa"/>
            <w:noWrap w:val="0"/>
            <w:vAlign w:val="center"/>
          </w:tcPr>
          <w:p>
            <w:pPr>
              <w:spacing w:line="240" w:lineRule="exact"/>
              <w:jc w:val="center"/>
              <w:rPr>
                <w:rFonts w:hint="eastAsia" w:ascii="方正仿宋_GBK" w:hAnsi="仿宋" w:eastAsia="方正仿宋_GBK" w:cs="宋体"/>
                <w:b/>
                <w:kern w:val="0"/>
                <w:sz w:val="21"/>
                <w:szCs w:val="21"/>
              </w:rPr>
            </w:pPr>
            <w:r>
              <w:rPr>
                <w:rFonts w:hint="eastAsia" w:ascii="方正仿宋_GBK" w:hAnsi="仿宋" w:eastAsia="方正仿宋_GBK" w:cs="宋体"/>
                <w:b/>
                <w:kern w:val="0"/>
                <w:sz w:val="21"/>
                <w:szCs w:val="21"/>
              </w:rPr>
              <w:t>序号</w:t>
            </w:r>
          </w:p>
        </w:tc>
        <w:tc>
          <w:tcPr>
            <w:tcW w:w="3685" w:type="dxa"/>
            <w:gridSpan w:val="2"/>
            <w:noWrap w:val="0"/>
            <w:vAlign w:val="center"/>
          </w:tcPr>
          <w:p>
            <w:pPr>
              <w:spacing w:line="240" w:lineRule="exact"/>
              <w:jc w:val="center"/>
              <w:rPr>
                <w:rFonts w:hint="eastAsia" w:ascii="方正仿宋_GBK" w:hAnsi="仿宋" w:eastAsia="方正仿宋_GBK" w:cs="宋体"/>
                <w:b/>
                <w:kern w:val="0"/>
                <w:sz w:val="21"/>
                <w:szCs w:val="21"/>
              </w:rPr>
            </w:pPr>
            <w:r>
              <w:rPr>
                <w:rFonts w:hint="eastAsia" w:ascii="方正仿宋_GBK" w:hAnsi="仿宋" w:eastAsia="方正仿宋_GBK" w:cs="宋体"/>
                <w:b/>
                <w:kern w:val="0"/>
                <w:sz w:val="21"/>
                <w:szCs w:val="21"/>
              </w:rPr>
              <w:t>检查因素</w:t>
            </w:r>
          </w:p>
        </w:tc>
        <w:tc>
          <w:tcPr>
            <w:tcW w:w="5267" w:type="dxa"/>
            <w:noWrap w:val="0"/>
            <w:vAlign w:val="center"/>
          </w:tcPr>
          <w:p>
            <w:pPr>
              <w:spacing w:line="240" w:lineRule="exact"/>
              <w:jc w:val="center"/>
              <w:rPr>
                <w:rFonts w:hint="eastAsia" w:ascii="方正仿宋_GBK" w:hAnsi="仿宋" w:eastAsia="方正仿宋_GBK" w:cs="宋体"/>
                <w:b/>
                <w:kern w:val="0"/>
                <w:sz w:val="21"/>
                <w:szCs w:val="21"/>
              </w:rPr>
            </w:pPr>
            <w:r>
              <w:rPr>
                <w:rFonts w:hint="eastAsia" w:ascii="方正仿宋_GBK" w:hAnsi="仿宋" w:eastAsia="方正仿宋_GBK" w:cs="宋体"/>
                <w:b/>
                <w:kern w:val="0"/>
                <w:sz w:val="21"/>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noWrap w:val="0"/>
            <w:vAlign w:val="center"/>
          </w:tcPr>
          <w:p>
            <w:pPr>
              <w:spacing w:line="240" w:lineRule="exact"/>
              <w:jc w:val="center"/>
              <w:rPr>
                <w:rFonts w:hint="eastAsia" w:ascii="方正仿宋_GBK" w:hAnsi="仿宋" w:eastAsia="方正仿宋_GBK"/>
                <w:sz w:val="21"/>
                <w:szCs w:val="21"/>
              </w:rPr>
            </w:pPr>
            <w:r>
              <w:rPr>
                <w:rFonts w:hint="eastAsia" w:ascii="方正仿宋_GBK" w:hAnsi="仿宋" w:eastAsia="方正仿宋_GBK"/>
                <w:sz w:val="21"/>
                <w:szCs w:val="21"/>
              </w:rPr>
              <w:t>1</w:t>
            </w:r>
          </w:p>
        </w:tc>
        <w:tc>
          <w:tcPr>
            <w:tcW w:w="709" w:type="dxa"/>
            <w:vMerge w:val="restart"/>
            <w:noWrap w:val="0"/>
            <w:vAlign w:val="center"/>
          </w:tcPr>
          <w:p>
            <w:pPr>
              <w:spacing w:line="240" w:lineRule="exact"/>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投标人应符合的基本资格条件</w:t>
            </w:r>
          </w:p>
        </w:tc>
        <w:tc>
          <w:tcPr>
            <w:tcW w:w="2976"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（1）具有独立承担民事责任的能力</w:t>
            </w:r>
          </w:p>
        </w:tc>
        <w:tc>
          <w:tcPr>
            <w:tcW w:w="5267"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投标人营业执照（副本）或事业单位法人证书（副本）或个体工商户营业执照或有效的自然人身份证明、组织机构代码证复印件（注</w:t>
            </w: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sz w:val="21"/>
                <w:szCs w:val="21"/>
              </w:rPr>
              <w:t xml:space="preserve">）； </w:t>
            </w:r>
          </w:p>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投标人法定代表人身份证明和法定代表人授权代表委托书。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0"/>
            <w:vAlign w:val="center"/>
          </w:tcPr>
          <w:p>
            <w:pPr>
              <w:spacing w:line="240" w:lineRule="exact"/>
              <w:jc w:val="center"/>
              <w:rPr>
                <w:rFonts w:hint="eastAsia" w:ascii="方正仿宋_GBK" w:hAnsi="仿宋" w:eastAsia="方正仿宋_GBK"/>
                <w:sz w:val="21"/>
                <w:szCs w:val="21"/>
              </w:rPr>
            </w:pPr>
          </w:p>
        </w:tc>
        <w:tc>
          <w:tcPr>
            <w:tcW w:w="709" w:type="dxa"/>
            <w:vMerge w:val="continue"/>
            <w:noWrap w:val="0"/>
            <w:vAlign w:val="center"/>
          </w:tcPr>
          <w:p>
            <w:pPr>
              <w:spacing w:line="240" w:lineRule="exact"/>
              <w:rPr>
                <w:rFonts w:hint="eastAsia" w:ascii="方正仿宋_GBK" w:hAnsi="仿宋" w:eastAsia="方正仿宋_GBK" w:cs="仿宋_GB2312"/>
                <w:sz w:val="21"/>
                <w:szCs w:val="21"/>
                <w:lang w:val="zh-CN"/>
              </w:rPr>
            </w:pPr>
          </w:p>
        </w:tc>
        <w:tc>
          <w:tcPr>
            <w:tcW w:w="2976"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cs="仿宋_GB2312"/>
                <w:sz w:val="21"/>
                <w:szCs w:val="21"/>
                <w:lang w:val="zh-CN"/>
              </w:rPr>
              <w:t>（2）</w:t>
            </w:r>
            <w:r>
              <w:rPr>
                <w:rFonts w:hint="eastAsia" w:ascii="方正仿宋_GBK" w:hAnsi="仿宋" w:eastAsia="方正仿宋_GBK"/>
                <w:sz w:val="21"/>
                <w:szCs w:val="21"/>
              </w:rPr>
              <w:t>具有良好的商业信誉和健全的财务会计制度</w:t>
            </w:r>
          </w:p>
        </w:tc>
        <w:tc>
          <w:tcPr>
            <w:tcW w:w="5267"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提供2</w:t>
            </w:r>
            <w:r>
              <w:rPr>
                <w:rFonts w:ascii="方正仿宋_GBK" w:hAnsi="仿宋" w:eastAsia="方正仿宋_GBK"/>
                <w:sz w:val="21"/>
                <w:szCs w:val="21"/>
              </w:rPr>
              <w:t>02</w:t>
            </w:r>
            <w:r>
              <w:rPr>
                <w:rFonts w:hint="eastAsia" w:ascii="方正仿宋_GBK" w:hAnsi="仿宋" w:eastAsia="方正仿宋_GBK"/>
                <w:sz w:val="21"/>
                <w:szCs w:val="21"/>
                <w:lang w:val="en-US" w:eastAsia="zh-CN"/>
              </w:rPr>
              <w:t>2</w:t>
            </w:r>
            <w:r>
              <w:rPr>
                <w:rFonts w:hint="eastAsia" w:ascii="方正仿宋_GBK" w:hAnsi="仿宋" w:eastAsia="方正仿宋_GBK"/>
                <w:sz w:val="21"/>
                <w:szCs w:val="21"/>
              </w:rPr>
              <w:t>年度或202</w:t>
            </w:r>
            <w:r>
              <w:rPr>
                <w:rFonts w:hint="eastAsia" w:ascii="方正仿宋_GBK" w:hAnsi="仿宋" w:eastAsia="方正仿宋_GBK"/>
                <w:sz w:val="21"/>
                <w:szCs w:val="21"/>
                <w:lang w:val="en-US" w:eastAsia="zh-CN"/>
              </w:rPr>
              <w:t>3</w:t>
            </w:r>
            <w:r>
              <w:rPr>
                <w:rFonts w:hint="eastAsia" w:ascii="方正仿宋_GBK" w:hAnsi="仿宋" w:eastAsia="方正仿宋_GBK"/>
                <w:sz w:val="21"/>
                <w:szCs w:val="21"/>
              </w:rPr>
              <w:t>年度财务状况报告（表）或其基本开户银行出具的资信证明复印件，本年度新成立或成立不满一年的组织和自然人无法提供财务状况报告（表）的，可提供银行出具的资信证明复印件。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0"/>
            <w:vAlign w:val="center"/>
          </w:tcPr>
          <w:p>
            <w:pPr>
              <w:spacing w:line="240" w:lineRule="exact"/>
              <w:jc w:val="center"/>
              <w:rPr>
                <w:rFonts w:hint="eastAsia" w:ascii="方正仿宋_GBK" w:hAnsi="仿宋" w:eastAsia="方正仿宋_GBK"/>
                <w:sz w:val="21"/>
                <w:szCs w:val="21"/>
              </w:rPr>
            </w:pPr>
          </w:p>
        </w:tc>
        <w:tc>
          <w:tcPr>
            <w:tcW w:w="709" w:type="dxa"/>
            <w:vMerge w:val="continue"/>
            <w:noWrap w:val="0"/>
            <w:vAlign w:val="center"/>
          </w:tcPr>
          <w:p>
            <w:pPr>
              <w:spacing w:line="240" w:lineRule="exact"/>
              <w:rPr>
                <w:rFonts w:hint="eastAsia" w:ascii="方正仿宋_GBK" w:hAnsi="仿宋" w:eastAsia="方正仿宋_GBK" w:cs="仿宋_GB2312"/>
                <w:sz w:val="21"/>
                <w:szCs w:val="21"/>
                <w:lang w:val="zh-CN"/>
              </w:rPr>
            </w:pPr>
          </w:p>
        </w:tc>
        <w:tc>
          <w:tcPr>
            <w:tcW w:w="2976" w:type="dxa"/>
            <w:noWrap w:val="0"/>
            <w:vAlign w:val="center"/>
          </w:tcPr>
          <w:p>
            <w:pPr>
              <w:spacing w:line="240" w:lineRule="exact"/>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（3）具有履行合同所必需的设备和专业技术能力</w:t>
            </w:r>
          </w:p>
        </w:tc>
        <w:tc>
          <w:tcPr>
            <w:tcW w:w="5267" w:type="dxa"/>
            <w:noWrap w:val="0"/>
            <w:vAlign w:val="center"/>
          </w:tcPr>
          <w:p>
            <w:pPr>
              <w:spacing w:line="240" w:lineRule="exact"/>
              <w:rPr>
                <w:rFonts w:hint="eastAsia" w:ascii="方正仿宋_GBK" w:hAnsi="仿宋" w:eastAsia="方正仿宋_GBK"/>
                <w:sz w:val="21"/>
                <w:szCs w:val="21"/>
                <w:lang w:eastAsia="zh-CN"/>
              </w:rPr>
            </w:pPr>
            <w:r>
              <w:rPr>
                <w:rFonts w:hint="eastAsia" w:ascii="方正仿宋_GBK" w:hAnsi="仿宋" w:eastAsia="方正仿宋_GBK"/>
                <w:sz w:val="21"/>
                <w:szCs w:val="21"/>
              </w:rPr>
              <w:t>投标人提供书面声明或相关证明材料</w:t>
            </w:r>
            <w:r>
              <w:rPr>
                <w:rFonts w:hint="eastAsia" w:ascii="方正仿宋_GBK" w:hAnsi="仿宋" w:eastAsia="方正仿宋_GBK"/>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0"/>
            <w:vAlign w:val="center"/>
          </w:tcPr>
          <w:p>
            <w:pPr>
              <w:spacing w:line="240" w:lineRule="exact"/>
              <w:jc w:val="center"/>
              <w:rPr>
                <w:rFonts w:hint="eastAsia" w:ascii="方正仿宋_GBK" w:hAnsi="仿宋" w:eastAsia="方正仿宋_GBK"/>
                <w:sz w:val="21"/>
                <w:szCs w:val="21"/>
              </w:rPr>
            </w:pPr>
          </w:p>
        </w:tc>
        <w:tc>
          <w:tcPr>
            <w:tcW w:w="709" w:type="dxa"/>
            <w:vMerge w:val="continue"/>
            <w:noWrap w:val="0"/>
            <w:vAlign w:val="center"/>
          </w:tcPr>
          <w:p>
            <w:pPr>
              <w:spacing w:line="240" w:lineRule="exact"/>
              <w:rPr>
                <w:rFonts w:hint="eastAsia" w:ascii="方正仿宋_GBK" w:hAnsi="仿宋" w:eastAsia="方正仿宋_GBK" w:cs="仿宋_GB2312"/>
                <w:sz w:val="21"/>
                <w:szCs w:val="21"/>
                <w:lang w:val="zh-CN"/>
              </w:rPr>
            </w:pPr>
          </w:p>
        </w:tc>
        <w:tc>
          <w:tcPr>
            <w:tcW w:w="2976" w:type="dxa"/>
            <w:noWrap w:val="0"/>
            <w:vAlign w:val="center"/>
          </w:tcPr>
          <w:p>
            <w:pPr>
              <w:spacing w:line="240" w:lineRule="exact"/>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（4）有依法缴纳税收和社会保障金的良好记录</w:t>
            </w:r>
          </w:p>
        </w:tc>
        <w:tc>
          <w:tcPr>
            <w:tcW w:w="5267"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1.税务登记证（副本）复印件（注</w:t>
            </w: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sz w:val="21"/>
                <w:szCs w:val="21"/>
              </w:rPr>
              <w:t>）</w:t>
            </w:r>
          </w:p>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2.缴纳社会保障金的证明材料复印件【缴纳社会保障金的证明材料指：社会保险登记证（注</w:t>
            </w: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sz w:val="21"/>
                <w:szCs w:val="21"/>
              </w:rPr>
              <w:t>）或缴纳社会保险的凭据（专用收据</w:t>
            </w:r>
            <w:bookmarkStart w:id="0" w:name="_GoBack"/>
            <w:bookmarkEnd w:id="0"/>
            <w:r>
              <w:rPr>
                <w:rFonts w:hint="eastAsia" w:ascii="方正仿宋_GBK" w:hAnsi="仿宋" w:eastAsia="方正仿宋_GBK"/>
                <w:sz w:val="21"/>
                <w:szCs w:val="21"/>
              </w:rPr>
              <w:t>或社会保险缴纳清单）】。</w:t>
            </w:r>
          </w:p>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3.依法免税或不需要缴纳社会保障资金的投标人，应提供相应文件证明其依法免税或不需要缴纳社会保障资金。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0"/>
            <w:vAlign w:val="center"/>
          </w:tcPr>
          <w:p>
            <w:pPr>
              <w:spacing w:line="240" w:lineRule="exact"/>
              <w:jc w:val="center"/>
              <w:rPr>
                <w:rFonts w:hint="eastAsia" w:ascii="方正仿宋_GBK" w:hAnsi="仿宋" w:eastAsia="方正仿宋_GBK"/>
                <w:sz w:val="21"/>
                <w:szCs w:val="21"/>
              </w:rPr>
            </w:pPr>
          </w:p>
        </w:tc>
        <w:tc>
          <w:tcPr>
            <w:tcW w:w="709" w:type="dxa"/>
            <w:vMerge w:val="continue"/>
            <w:noWrap w:val="0"/>
            <w:vAlign w:val="center"/>
          </w:tcPr>
          <w:p>
            <w:pPr>
              <w:spacing w:line="240" w:lineRule="exact"/>
              <w:rPr>
                <w:rFonts w:hint="eastAsia" w:ascii="方正仿宋_GBK" w:hAnsi="仿宋" w:eastAsia="方正仿宋_GBK" w:cs="仿宋_GB2312"/>
                <w:sz w:val="21"/>
                <w:szCs w:val="21"/>
                <w:lang w:val="zh-CN"/>
              </w:rPr>
            </w:pPr>
          </w:p>
        </w:tc>
        <w:tc>
          <w:tcPr>
            <w:tcW w:w="2976" w:type="dxa"/>
            <w:noWrap w:val="0"/>
            <w:vAlign w:val="center"/>
          </w:tcPr>
          <w:p>
            <w:pPr>
              <w:spacing w:line="240" w:lineRule="exact"/>
              <w:rPr>
                <w:rFonts w:hint="eastAsia" w:ascii="方正仿宋_GBK" w:hAnsi="仿宋" w:eastAsia="方正仿宋_GBK" w:cs="仿宋_GB2312"/>
                <w:sz w:val="21"/>
                <w:szCs w:val="21"/>
                <w:lang w:val="zh-CN"/>
              </w:rPr>
            </w:pPr>
            <w:r>
              <w:rPr>
                <w:rFonts w:hint="eastAsia" w:ascii="方正仿宋_GBK" w:hAnsi="仿宋" w:eastAsia="方正仿宋_GBK"/>
                <w:sz w:val="21"/>
                <w:szCs w:val="21"/>
              </w:rPr>
              <w:t>（5）参加政府采购活动前三年内，在经营活动中没有重大违法记录（注</w:t>
            </w: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2</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sz w:val="21"/>
                <w:szCs w:val="21"/>
              </w:rPr>
              <w:t>）</w:t>
            </w:r>
          </w:p>
        </w:tc>
        <w:tc>
          <w:tcPr>
            <w:tcW w:w="5267" w:type="dxa"/>
            <w:noWrap w:val="0"/>
            <w:vAlign w:val="center"/>
          </w:tcPr>
          <w:p>
            <w:pPr>
              <w:spacing w:line="240" w:lineRule="exact"/>
              <w:rPr>
                <w:rFonts w:hint="eastAsia" w:ascii="方正仿宋_GBK" w:hAnsi="仿宋" w:eastAsia="方正仿宋_GBK"/>
                <w:b/>
                <w:sz w:val="21"/>
                <w:szCs w:val="21"/>
              </w:rPr>
            </w:pPr>
            <w:r>
              <w:rPr>
                <w:rFonts w:hint="eastAsia" w:ascii="方正仿宋_GBK" w:hAnsi="仿宋" w:eastAsia="方正仿宋_GBK"/>
                <w:b/>
                <w:sz w:val="21"/>
                <w:szCs w:val="21"/>
              </w:rPr>
              <w:t>1.投标人提供书面声明；</w:t>
            </w:r>
          </w:p>
          <w:p>
            <w:pPr>
              <w:spacing w:line="240" w:lineRule="exact"/>
              <w:rPr>
                <w:rFonts w:hint="eastAsia" w:ascii="方正仿宋_GBK" w:hAnsi="宋体" w:eastAsia="方正仿宋_GBK"/>
                <w:b/>
                <w:sz w:val="21"/>
                <w:szCs w:val="21"/>
              </w:rPr>
            </w:pPr>
            <w:r>
              <w:rPr>
                <w:rFonts w:hint="eastAsia" w:ascii="方正仿宋_GBK" w:hAnsi="宋体" w:eastAsia="方正仿宋_GBK"/>
                <w:b/>
                <w:sz w:val="21"/>
                <w:szCs w:val="21"/>
              </w:rPr>
              <w:t>2.投标人提供信用中国网站（</w:t>
            </w:r>
            <w:r>
              <w:rPr>
                <w:rFonts w:ascii="方正仿宋_GBK" w:hAnsi="宋体" w:eastAsia="方正仿宋_GBK"/>
                <w:b/>
                <w:sz w:val="21"/>
                <w:szCs w:val="21"/>
              </w:rPr>
              <w:fldChar w:fldCharType="begin"/>
            </w:r>
            <w:r>
              <w:rPr>
                <w:rFonts w:ascii="方正仿宋_GBK" w:hAnsi="宋体" w:eastAsia="方正仿宋_GBK"/>
                <w:b/>
                <w:sz w:val="21"/>
                <w:szCs w:val="21"/>
              </w:rPr>
              <w:instrText xml:space="preserve"> HYPERLINK "http://</w:instrText>
            </w:r>
            <w:r>
              <w:rPr>
                <w:rFonts w:hint="eastAsia" w:ascii="方正仿宋_GBK" w:hAnsi="宋体" w:eastAsia="方正仿宋_GBK"/>
                <w:b/>
                <w:sz w:val="21"/>
                <w:szCs w:val="21"/>
              </w:rPr>
              <w:instrText xml:space="preserve">www.creditchina.gov.cn</w:instrText>
            </w:r>
            <w:r>
              <w:rPr>
                <w:rFonts w:ascii="方正仿宋_GBK" w:hAnsi="宋体" w:eastAsia="方正仿宋_GBK"/>
                <w:b/>
                <w:sz w:val="21"/>
                <w:szCs w:val="21"/>
              </w:rPr>
              <w:instrText xml:space="preserve">" </w:instrText>
            </w:r>
            <w:r>
              <w:rPr>
                <w:rFonts w:ascii="方正仿宋_GBK" w:hAnsi="宋体" w:eastAsia="方正仿宋_GBK"/>
                <w:b/>
                <w:sz w:val="21"/>
                <w:szCs w:val="21"/>
              </w:rPr>
              <w:fldChar w:fldCharType="separate"/>
            </w:r>
            <w:r>
              <w:rPr>
                <w:rFonts w:hint="eastAsia"/>
                <w:b/>
                <w:sz w:val="21"/>
              </w:rPr>
              <w:t>www.creditchina.gov.cn</w:t>
            </w:r>
            <w:r>
              <w:rPr>
                <w:rFonts w:ascii="方正仿宋_GBK" w:hAnsi="宋体" w:eastAsia="方正仿宋_GBK"/>
                <w:b/>
                <w:sz w:val="21"/>
                <w:szCs w:val="21"/>
              </w:rPr>
              <w:fldChar w:fldCharType="end"/>
            </w:r>
            <w:r>
              <w:rPr>
                <w:rFonts w:hint="eastAsia" w:ascii="方正仿宋_GBK" w:hAnsi="宋体" w:eastAsia="方正仿宋_GBK"/>
                <w:b/>
                <w:sz w:val="21"/>
                <w:szCs w:val="21"/>
              </w:rPr>
              <w:t>）以下内容的查询结果网页打印件并加盖投标人公章（查询信息为投标人名称）</w:t>
            </w:r>
          </w:p>
          <w:p>
            <w:pPr>
              <w:spacing w:line="240" w:lineRule="exact"/>
              <w:rPr>
                <w:rFonts w:hint="eastAsia" w:ascii="方正仿宋_GBK" w:hAnsi="宋体" w:eastAsia="方正仿宋_GBK"/>
                <w:b/>
                <w:sz w:val="21"/>
                <w:szCs w:val="21"/>
              </w:rPr>
            </w:pPr>
            <w:r>
              <w:rPr>
                <w:rFonts w:hint="eastAsia" w:ascii="方正仿宋_GBK" w:hAnsi="宋体" w:eastAsia="方正仿宋_GBK"/>
                <w:b/>
                <w:sz w:val="21"/>
                <w:szCs w:val="21"/>
              </w:rPr>
              <w:t>2.1“信用信息”查询结果；</w:t>
            </w:r>
          </w:p>
          <w:p>
            <w:pPr>
              <w:spacing w:line="240" w:lineRule="exact"/>
              <w:rPr>
                <w:rFonts w:hint="eastAsia" w:ascii="方正仿宋_GBK" w:hAnsi="宋体" w:eastAsia="方正仿宋_GBK"/>
                <w:b/>
                <w:sz w:val="21"/>
                <w:szCs w:val="21"/>
              </w:rPr>
            </w:pPr>
            <w:r>
              <w:rPr>
                <w:rFonts w:hint="eastAsia" w:ascii="方正仿宋_GBK" w:hAnsi="宋体" w:eastAsia="方正仿宋_GBK"/>
                <w:b/>
                <w:sz w:val="21"/>
                <w:szCs w:val="21"/>
              </w:rPr>
              <w:t>2.2“失信被执行人”查询结果；</w:t>
            </w:r>
          </w:p>
          <w:p>
            <w:pPr>
              <w:spacing w:line="240" w:lineRule="exact"/>
              <w:rPr>
                <w:rFonts w:hint="eastAsia" w:ascii="方正仿宋_GBK" w:hAnsi="宋体" w:eastAsia="方正仿宋_GBK"/>
                <w:b/>
                <w:sz w:val="21"/>
                <w:szCs w:val="21"/>
              </w:rPr>
            </w:pPr>
            <w:r>
              <w:rPr>
                <w:rFonts w:hint="eastAsia" w:ascii="方正仿宋_GBK" w:hAnsi="宋体" w:eastAsia="方正仿宋_GBK"/>
                <w:b/>
                <w:sz w:val="21"/>
                <w:szCs w:val="21"/>
              </w:rPr>
              <w:t>2.3“</w:t>
            </w:r>
            <w:r>
              <w:rPr>
                <w:rFonts w:hint="eastAsia" w:ascii="方正仿宋_GBK" w:hAnsi="宋体" w:eastAsia="方正仿宋_GBK"/>
                <w:b/>
                <w:color w:val="000000"/>
                <w:sz w:val="21"/>
                <w:szCs w:val="21"/>
              </w:rPr>
              <w:t>税收违法黑名单</w:t>
            </w:r>
            <w:r>
              <w:rPr>
                <w:rFonts w:hint="eastAsia" w:ascii="方正仿宋_GBK" w:hAnsi="宋体" w:eastAsia="方正仿宋_GBK"/>
                <w:b/>
                <w:sz w:val="21"/>
                <w:szCs w:val="21"/>
              </w:rPr>
              <w:t>”查询结果；</w:t>
            </w:r>
          </w:p>
          <w:p>
            <w:pPr>
              <w:spacing w:line="240" w:lineRule="exact"/>
              <w:rPr>
                <w:rFonts w:hint="eastAsia" w:ascii="方正仿宋_GBK" w:hAnsi="仿宋" w:eastAsia="方正仿宋_GBK"/>
                <w:b/>
                <w:sz w:val="21"/>
                <w:szCs w:val="21"/>
              </w:rPr>
            </w:pPr>
            <w:r>
              <w:rPr>
                <w:rFonts w:hint="eastAsia" w:ascii="方正仿宋_GBK" w:hAnsi="宋体" w:eastAsia="方正仿宋_GBK"/>
                <w:b/>
                <w:sz w:val="21"/>
                <w:szCs w:val="21"/>
              </w:rPr>
              <w:t>3.中国政府采购网（www.ccgp.gov.cn）“政府采购严重违法失信行为记录名单”查询结果，提供查询结果网页打印件并加盖投标人公章。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6" w:type="dxa"/>
            <w:vMerge w:val="continue"/>
            <w:noWrap w:val="0"/>
            <w:vAlign w:val="center"/>
          </w:tcPr>
          <w:p>
            <w:pPr>
              <w:spacing w:line="240" w:lineRule="exact"/>
              <w:jc w:val="center"/>
              <w:rPr>
                <w:rFonts w:hint="eastAsia" w:ascii="方正仿宋_GBK" w:hAnsi="仿宋" w:eastAsia="方正仿宋_GBK"/>
                <w:sz w:val="21"/>
                <w:szCs w:val="21"/>
              </w:rPr>
            </w:pPr>
          </w:p>
        </w:tc>
        <w:tc>
          <w:tcPr>
            <w:tcW w:w="709" w:type="dxa"/>
            <w:vMerge w:val="continue"/>
            <w:noWrap w:val="0"/>
            <w:vAlign w:val="center"/>
          </w:tcPr>
          <w:p>
            <w:pPr>
              <w:spacing w:line="240" w:lineRule="exact"/>
              <w:rPr>
                <w:rFonts w:hint="eastAsia" w:ascii="方正仿宋_GBK" w:hAnsi="仿宋" w:eastAsia="方正仿宋_GBK" w:cs="仿宋_GB2312"/>
                <w:sz w:val="21"/>
                <w:szCs w:val="21"/>
              </w:rPr>
            </w:pPr>
          </w:p>
        </w:tc>
        <w:tc>
          <w:tcPr>
            <w:tcW w:w="2976" w:type="dxa"/>
            <w:noWrap w:val="0"/>
            <w:vAlign w:val="center"/>
          </w:tcPr>
          <w:p>
            <w:pPr>
              <w:spacing w:line="240" w:lineRule="exact"/>
              <w:rPr>
                <w:rFonts w:hint="eastAsia" w:ascii="方正仿宋_GBK" w:hAnsi="仿宋" w:eastAsia="方正仿宋_GBK"/>
                <w:sz w:val="21"/>
                <w:szCs w:val="21"/>
              </w:rPr>
            </w:pPr>
            <w:r>
              <w:rPr>
                <w:rFonts w:hint="eastAsia" w:ascii="方正仿宋_GBK" w:hAnsi="仿宋" w:eastAsia="方正仿宋_GBK"/>
                <w:sz w:val="21"/>
                <w:szCs w:val="21"/>
              </w:rPr>
              <w:t>（6）法律、行政法规规定的其他条件</w:t>
            </w:r>
          </w:p>
        </w:tc>
        <w:tc>
          <w:tcPr>
            <w:tcW w:w="5267" w:type="dxa"/>
            <w:noWrap w:val="0"/>
            <w:vAlign w:val="center"/>
          </w:tcPr>
          <w:p>
            <w:pPr>
              <w:spacing w:line="240" w:lineRule="exact"/>
              <w:rPr>
                <w:rFonts w:hint="eastAsia" w:ascii="方正仿宋_GBK" w:hAnsi="仿宋"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6" w:type="dxa"/>
            <w:noWrap w:val="0"/>
            <w:vAlign w:val="center"/>
          </w:tcPr>
          <w:p>
            <w:pPr>
              <w:spacing w:line="240" w:lineRule="exact"/>
              <w:rPr>
                <w:rFonts w:hint="eastAsia" w:ascii="方正仿宋_GBK" w:hAnsi="仿宋" w:eastAsia="方正仿宋_GBK" w:cs="Times New Roman"/>
                <w:sz w:val="21"/>
                <w:szCs w:val="21"/>
                <w:lang w:val="en-US" w:eastAsia="zh-CN"/>
              </w:rPr>
            </w:pPr>
            <w:r>
              <w:rPr>
                <w:rFonts w:hint="eastAsia" w:ascii="方正仿宋_GBK" w:hAnsi="仿宋" w:eastAsia="方正仿宋_GBK" w:cs="Times New Roman"/>
                <w:sz w:val="21"/>
                <w:szCs w:val="21"/>
                <w:lang w:val="en-US" w:eastAsia="zh-CN"/>
              </w:rPr>
              <w:t>2</w:t>
            </w:r>
          </w:p>
        </w:tc>
        <w:tc>
          <w:tcPr>
            <w:tcW w:w="709" w:type="dxa"/>
            <w:noWrap w:val="0"/>
            <w:vAlign w:val="center"/>
          </w:tcPr>
          <w:p>
            <w:pPr>
              <w:spacing w:line="240" w:lineRule="exact"/>
              <w:rPr>
                <w:rFonts w:hint="eastAsia" w:ascii="方正仿宋_GBK" w:hAnsi="仿宋" w:eastAsia="方正仿宋_GBK" w:cs="Times New Roman"/>
                <w:sz w:val="21"/>
                <w:szCs w:val="21"/>
              </w:rPr>
            </w:pPr>
            <w:r>
              <w:rPr>
                <w:rFonts w:hint="eastAsia" w:ascii="方正仿宋_GBK" w:hAnsi="仿宋" w:eastAsia="方正仿宋_GBK" w:cs="Times New Roman"/>
                <w:sz w:val="21"/>
                <w:szCs w:val="21"/>
              </w:rPr>
              <w:t>特定资格条件</w:t>
            </w:r>
          </w:p>
        </w:tc>
        <w:tc>
          <w:tcPr>
            <w:tcW w:w="2976" w:type="dxa"/>
            <w:noWrap w:val="0"/>
            <w:vAlign w:val="center"/>
          </w:tcPr>
          <w:p>
            <w:pPr>
              <w:spacing w:line="240" w:lineRule="exact"/>
              <w:rPr>
                <w:rFonts w:hint="default" w:ascii="方正仿宋_GBK" w:hAnsi="仿宋" w:eastAsia="方正仿宋_GBK" w:cs="Times New Roman"/>
                <w:sz w:val="21"/>
                <w:szCs w:val="21"/>
                <w:lang w:val="en-US" w:eastAsia="zh-CN"/>
              </w:rPr>
            </w:pPr>
            <w:r>
              <w:rPr>
                <w:rFonts w:hint="eastAsia" w:ascii="方正仿宋_GBK" w:hAnsi="仿宋" w:eastAsia="方正仿宋_GBK" w:cs="Times New Roman"/>
                <w:sz w:val="21"/>
                <w:szCs w:val="21"/>
                <w:lang w:eastAsia="zh-CN"/>
              </w:rPr>
              <w:t>（</w:t>
            </w:r>
            <w:r>
              <w:rPr>
                <w:rFonts w:hint="eastAsia" w:ascii="方正仿宋_GBK" w:hAnsi="仿宋" w:eastAsia="方正仿宋_GBK" w:cs="Times New Roman"/>
                <w:sz w:val="21"/>
                <w:szCs w:val="21"/>
                <w:lang w:val="en-US" w:eastAsia="zh-CN"/>
              </w:rPr>
              <w:t>7</w:t>
            </w:r>
            <w:r>
              <w:rPr>
                <w:rFonts w:hint="eastAsia" w:ascii="方正仿宋_GBK" w:hAnsi="仿宋" w:eastAsia="方正仿宋_GBK" w:cs="Times New Roman"/>
                <w:sz w:val="21"/>
                <w:szCs w:val="21"/>
                <w:lang w:eastAsia="zh-CN"/>
              </w:rPr>
              <w:t>）</w:t>
            </w:r>
            <w:r>
              <w:rPr>
                <w:rFonts w:hint="eastAsia" w:ascii="方正仿宋_GBK" w:hAnsi="仿宋" w:eastAsia="方正仿宋_GBK" w:cs="Times New Roman"/>
                <w:sz w:val="21"/>
                <w:szCs w:val="21"/>
              </w:rPr>
              <w:t>具有</w:t>
            </w:r>
            <w:r>
              <w:rPr>
                <w:rFonts w:hint="eastAsia" w:ascii="方正仿宋_GBK" w:hAnsi="仿宋" w:eastAsia="方正仿宋_GBK" w:cs="Times New Roman"/>
                <w:sz w:val="21"/>
                <w:szCs w:val="21"/>
                <w:lang w:val="en-US" w:eastAsia="zh-CN"/>
              </w:rPr>
              <w:t>出版物经营许可证</w:t>
            </w:r>
          </w:p>
        </w:tc>
        <w:tc>
          <w:tcPr>
            <w:tcW w:w="5267" w:type="dxa"/>
            <w:noWrap w:val="0"/>
            <w:vAlign w:val="center"/>
          </w:tcPr>
          <w:p>
            <w:pPr>
              <w:spacing w:line="240" w:lineRule="exact"/>
              <w:rPr>
                <w:rFonts w:hint="eastAsia" w:ascii="方正仿宋_GBK" w:hAnsi="仿宋" w:eastAsia="方正仿宋_GBK" w:cs="Times New Roman"/>
                <w:sz w:val="21"/>
                <w:szCs w:val="21"/>
                <w:lang w:eastAsia="zh-CN"/>
              </w:rPr>
            </w:pPr>
            <w:r>
              <w:rPr>
                <w:rFonts w:hint="eastAsia" w:ascii="方正仿宋_GBK" w:hAnsi="仿宋" w:eastAsia="方正仿宋_GBK" w:cs="Times New Roman"/>
                <w:sz w:val="21"/>
                <w:szCs w:val="21"/>
              </w:rPr>
              <w:t>提供证书复印件</w:t>
            </w:r>
            <w:r>
              <w:rPr>
                <w:rFonts w:hint="eastAsia" w:ascii="方正仿宋_GBK" w:hAnsi="仿宋" w:eastAsia="方正仿宋_GBK" w:cs="Times New Roman"/>
                <w:sz w:val="21"/>
                <w:szCs w:val="21"/>
                <w:lang w:eastAsia="zh-CN"/>
              </w:rPr>
              <w:t>。</w:t>
            </w:r>
          </w:p>
        </w:tc>
      </w:tr>
    </w:tbl>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注：</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cs="宋体"/>
          <w:kern w:val="0"/>
          <w:sz w:val="24"/>
          <w:szCs w:val="24"/>
        </w:rPr>
        <w:t>投标人按“多证合一”登记制度办理营业执照的，税务登记证（副本）和社会保险登记证以投标人所提供的营业执照（副本）复印件为准。</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pP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2</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宋体" w:eastAsia="方正仿宋_GBK" w:cs="宋体"/>
          <w:kern w:val="0"/>
          <w:sz w:val="24"/>
          <w:szCs w:val="24"/>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按照“</w:t>
      </w:r>
      <w:r>
        <w:rPr>
          <w:rFonts w:ascii="方正仿宋_GBK" w:hAnsi="宋体" w:eastAsia="方正仿宋_GBK" w:cs="宋体"/>
          <w:kern w:val="0"/>
          <w:sz w:val="24"/>
          <w:szCs w:val="24"/>
        </w:rPr>
        <w:t>财政部关于《中华人民共和国政府采购法实施条例》第十九条第一款“较大数额罚款”具体适用问题的意见</w:t>
      </w:r>
      <w:r>
        <w:rPr>
          <w:rFonts w:hint="eastAsia" w:ascii="方正仿宋_GBK" w:hAnsi="宋体" w:eastAsia="方正仿宋_GBK" w:cs="宋体"/>
          <w:kern w:val="0"/>
          <w:sz w:val="24"/>
          <w:szCs w:val="24"/>
        </w:rPr>
        <w:t>（财库〔2022〕3 号）”执行。</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1YjM2ODAyM2QzMTc0NDJiZDYzMDM1Njg0NzYyODYifQ=="/>
  </w:docVars>
  <w:rsids>
    <w:rsidRoot w:val="00000000"/>
    <w:rsid w:val="60E37497"/>
    <w:rsid w:val="723A18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965</Words>
  <Characters>1021</Characters>
  <Lines>0</Lines>
  <Paragraphs>0</Paragraphs>
  <TotalTime>0</TotalTime>
  <ScaleCrop>false</ScaleCrop>
  <LinksUpToDate>false</LinksUpToDate>
  <CharactersWithSpaces>1023</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2024-04-30T03:37:00Z</dcterms:created>
  <dc:creator>Administrator</dc:creator>
  <cp:lastModifiedBy>向晚</cp:lastModifiedBy>
  <dcterms:modified xsi:type="dcterms:W3CDTF">2024-05-16T07:28:41Z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987A5799615E4F79A24C232201B2F571_12</vt:lpwstr>
  </property>
</Properties>
</file>