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lang w:eastAsia="zh-CN"/>
        </w:rPr>
      </w:pPr>
      <w:r>
        <w:rPr>
          <w:rFonts w:hint="eastAsia"/>
          <w:b/>
          <w:bCs/>
          <w:sz w:val="28"/>
          <w:szCs w:val="28"/>
          <w:lang w:eastAsia="zh-CN"/>
        </w:rPr>
        <w:t>重庆市农业机械化学校</w:t>
      </w:r>
    </w:p>
    <w:p>
      <w:pPr>
        <w:jc w:val="center"/>
        <w:rPr>
          <w:rFonts w:hint="default"/>
          <w:b/>
          <w:bCs/>
          <w:sz w:val="28"/>
          <w:szCs w:val="28"/>
          <w:lang w:val="en-US" w:eastAsia="zh-CN"/>
        </w:rPr>
      </w:pPr>
      <w:r>
        <w:rPr>
          <w:rFonts w:hint="eastAsia"/>
          <w:b/>
          <w:bCs/>
          <w:sz w:val="28"/>
          <w:szCs w:val="28"/>
          <w:lang w:eastAsia="zh-CN"/>
        </w:rPr>
        <w:t>城轨专业综合监控系统及</w:t>
      </w:r>
      <w:r>
        <w:rPr>
          <w:rFonts w:hint="eastAsia"/>
          <w:b/>
          <w:bCs/>
          <w:sz w:val="28"/>
          <w:szCs w:val="28"/>
          <w:lang w:val="en-US" w:eastAsia="zh-CN"/>
        </w:rPr>
        <w:t>IBP盘实训操作台技术参数</w:t>
      </w:r>
      <w:bookmarkStart w:id="0" w:name="_GoBack"/>
      <w:bookmarkEnd w:id="0"/>
    </w:p>
    <w:p>
      <w:pPr>
        <w:rPr>
          <w:rFonts w:hint="eastAsia"/>
          <w:lang w:eastAsia="zh-CN"/>
        </w:rPr>
      </w:pPr>
      <w:r>
        <w:rPr>
          <w:rFonts w:hint="eastAsia"/>
          <w:lang w:eastAsia="zh-CN"/>
        </w:rPr>
        <w:t>一、配置清单</w:t>
      </w:r>
    </w:p>
    <w:tbl>
      <w:tblPr>
        <w:tblStyle w:val="5"/>
        <w:tblW w:w="489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81"/>
        <w:gridCol w:w="4496"/>
        <w:gridCol w:w="1017"/>
        <w:gridCol w:w="878"/>
        <w:gridCol w:w="9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6"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2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产品名称</w:t>
            </w: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6"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2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bCs/>
                <w:color w:val="000000"/>
                <w:kern w:val="0"/>
                <w:sz w:val="24"/>
                <w:szCs w:val="24"/>
              </w:rPr>
              <w:t>综合后备IBP盘系统</w:t>
            </w: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6"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c>
          <w:tcPr>
            <w:tcW w:w="26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Theme="minorEastAsia" w:hAnsiTheme="minorEastAsia" w:eastAsiaTheme="minorEastAsia" w:cstheme="minorEastAsia"/>
                <w:bCs/>
                <w:color w:val="000000"/>
                <w:kern w:val="0"/>
                <w:sz w:val="24"/>
                <w:szCs w:val="24"/>
              </w:rPr>
              <w:t>车站综合监控ISCS系统</w:t>
            </w: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bl>
    <w:p>
      <w:pPr>
        <w:rPr>
          <w:rFonts w:hint="eastAsia"/>
          <w:lang w:eastAsia="zh-CN"/>
        </w:rPr>
      </w:pPr>
    </w:p>
    <w:p>
      <w:pPr>
        <w:rPr>
          <w:rFonts w:hint="eastAsia"/>
          <w:lang w:eastAsia="zh-CN"/>
        </w:rPr>
      </w:pPr>
      <w:r>
        <w:rPr>
          <w:rFonts w:hint="eastAsia"/>
          <w:lang w:eastAsia="zh-CN"/>
        </w:rPr>
        <w:t>二、产品详细技术参数</w:t>
      </w:r>
    </w:p>
    <w:p>
      <w:pPr>
        <w:keepNext w:val="0"/>
        <w:keepLines w:val="0"/>
        <w:pageBreakBefore w:val="0"/>
        <w:widowControl w:val="0"/>
        <w:kinsoku/>
        <w:wordWrap/>
        <w:overflowPunct/>
        <w:topLinePunct w:val="0"/>
        <w:autoSpaceDE/>
        <w:autoSpaceDN/>
        <w:bidi w:val="0"/>
        <w:snapToGrid w:val="0"/>
        <w:spacing w:line="312" w:lineRule="auto"/>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eastAsia="zh-CN"/>
        </w:rPr>
        <w:t>注：为保障所投设备质量能够满足采购方需求，带★部分必须在投标响应文件中提供，如未能提供，则失去成为中标候选人资格。</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9"/>
        <w:gridCol w:w="970"/>
        <w:gridCol w:w="6084"/>
        <w:gridCol w:w="489"/>
        <w:gridCol w:w="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pStyle w:val="8"/>
              <w:keepNext w:val="0"/>
              <w:keepLines w:val="0"/>
              <w:pageBreakBefore w:val="0"/>
              <w:kinsoku/>
              <w:wordWrap/>
              <w:overflowPunct/>
              <w:topLinePunct w:val="0"/>
              <w:autoSpaceDE/>
              <w:autoSpaceDN/>
              <w:bidi w:val="0"/>
              <w:adjustRightInd/>
              <w:snapToGrid/>
              <w:spacing w:line="288" w:lineRule="auto"/>
              <w:ind w:firstLine="0" w:firstLineChars="0"/>
              <w:jc w:val="center"/>
              <w:rPr>
                <w:rFonts w:hint="eastAsia" w:asciiTheme="minorEastAsia" w:hAnsiTheme="minorEastAsia" w:eastAsiaTheme="minorEastAsia" w:cstheme="minorEastAsia"/>
                <w:b/>
                <w:bCs/>
                <w:kern w:val="2"/>
                <w:sz w:val="24"/>
                <w:szCs w:val="24"/>
                <w:vertAlign w:val="baseline"/>
                <w:lang w:val="en-US" w:eastAsia="zh-CN" w:bidi="ar-SA"/>
              </w:rPr>
            </w:pPr>
            <w:r>
              <w:rPr>
                <w:rFonts w:hint="eastAsia" w:asciiTheme="minorEastAsia" w:hAnsiTheme="minorEastAsia" w:eastAsiaTheme="minorEastAsia" w:cstheme="minorEastAsia"/>
                <w:b/>
                <w:bCs/>
                <w:kern w:val="2"/>
                <w:sz w:val="24"/>
                <w:szCs w:val="24"/>
                <w:vertAlign w:val="baseline"/>
                <w:lang w:val="en-US" w:eastAsia="zh-CN" w:bidi="ar-SA"/>
              </w:rPr>
              <w:t>序号</w:t>
            </w:r>
          </w:p>
        </w:tc>
        <w:tc>
          <w:tcPr>
            <w:tcW w:w="0" w:type="auto"/>
            <w:vAlign w:val="center"/>
          </w:tcPr>
          <w:p>
            <w:pPr>
              <w:keepNext w:val="0"/>
              <w:keepLines w:val="0"/>
              <w:pageBreakBefore w:val="0"/>
              <w:widowControl/>
              <w:kinsoku/>
              <w:wordWrap/>
              <w:overflowPunct/>
              <w:topLinePunct w:val="0"/>
              <w:autoSpaceDE/>
              <w:autoSpaceDN/>
              <w:bidi w:val="0"/>
              <w:adjustRightInd/>
              <w:snapToGrid/>
              <w:spacing w:line="288" w:lineRule="auto"/>
              <w:jc w:val="center"/>
              <w:rPr>
                <w:rFonts w:hint="eastAsia" w:asciiTheme="minorEastAsia" w:hAnsiTheme="minorEastAsia" w:eastAsiaTheme="minorEastAsia" w:cstheme="minorEastAsia"/>
                <w:b/>
                <w:bCs/>
                <w:color w:val="000000"/>
                <w:kern w:val="0"/>
                <w:sz w:val="24"/>
                <w:szCs w:val="24"/>
                <w:lang w:val="en-US" w:eastAsia="zh-CN"/>
              </w:rPr>
            </w:pPr>
            <w:r>
              <w:rPr>
                <w:rFonts w:hint="eastAsia" w:asciiTheme="minorEastAsia" w:hAnsiTheme="minorEastAsia" w:eastAsiaTheme="minorEastAsia" w:cstheme="minorEastAsia"/>
                <w:b/>
                <w:bCs/>
                <w:color w:val="000000"/>
                <w:kern w:val="0"/>
                <w:sz w:val="24"/>
                <w:szCs w:val="24"/>
                <w:lang w:val="en-US" w:eastAsia="zh-CN"/>
              </w:rPr>
              <w:t>名称</w:t>
            </w:r>
          </w:p>
        </w:tc>
        <w:tc>
          <w:tcPr>
            <w:tcW w:w="0" w:type="auto"/>
            <w:vAlign w:val="center"/>
          </w:tcPr>
          <w:p>
            <w:pPr>
              <w:keepNext w:val="0"/>
              <w:keepLines w:val="0"/>
              <w:pageBreakBefore w:val="0"/>
              <w:widowControl/>
              <w:kinsoku/>
              <w:wordWrap/>
              <w:overflowPunct/>
              <w:topLinePunct w:val="0"/>
              <w:autoSpaceDE/>
              <w:autoSpaceDN/>
              <w:bidi w:val="0"/>
              <w:adjustRightInd/>
              <w:snapToGrid/>
              <w:spacing w:line="288" w:lineRule="auto"/>
              <w:jc w:val="center"/>
              <w:rPr>
                <w:rFonts w:hint="eastAsia" w:asciiTheme="minorEastAsia" w:hAnsiTheme="minorEastAsia" w:eastAsiaTheme="minorEastAsia" w:cstheme="minorEastAsia"/>
                <w:b/>
                <w:bCs/>
                <w:color w:val="000000"/>
                <w:sz w:val="24"/>
                <w:szCs w:val="24"/>
                <w:lang w:val="en-US" w:eastAsia="zh-CN"/>
              </w:rPr>
            </w:pPr>
            <w:r>
              <w:rPr>
                <w:rFonts w:hint="eastAsia" w:asciiTheme="minorEastAsia" w:hAnsiTheme="minorEastAsia" w:eastAsiaTheme="minorEastAsia" w:cstheme="minorEastAsia"/>
                <w:b/>
                <w:bCs/>
                <w:color w:val="000000"/>
                <w:sz w:val="24"/>
                <w:szCs w:val="24"/>
                <w:lang w:val="en-US" w:eastAsia="zh-CN"/>
              </w:rPr>
              <w:t>技术参数</w:t>
            </w:r>
          </w:p>
        </w:tc>
        <w:tc>
          <w:tcPr>
            <w:tcW w:w="0" w:type="auto"/>
            <w:vAlign w:val="center"/>
          </w:tcPr>
          <w:p>
            <w:pPr>
              <w:keepNext w:val="0"/>
              <w:keepLines w:val="0"/>
              <w:pageBreakBefore w:val="0"/>
              <w:widowControl/>
              <w:kinsoku/>
              <w:wordWrap/>
              <w:overflowPunct/>
              <w:topLinePunct w:val="0"/>
              <w:autoSpaceDE/>
              <w:autoSpaceDN/>
              <w:bidi w:val="0"/>
              <w:adjustRightInd/>
              <w:snapToGrid/>
              <w:spacing w:line="288" w:lineRule="auto"/>
              <w:jc w:val="center"/>
              <w:rPr>
                <w:rFonts w:hint="eastAsia" w:asciiTheme="minorEastAsia" w:hAnsiTheme="minorEastAsia" w:eastAsiaTheme="minorEastAsia" w:cstheme="minorEastAsia"/>
                <w:b/>
                <w:bCs/>
                <w:color w:val="000000"/>
                <w:kern w:val="0"/>
                <w:sz w:val="24"/>
                <w:szCs w:val="24"/>
                <w:lang w:val="en-US" w:eastAsia="zh-CN"/>
              </w:rPr>
            </w:pPr>
            <w:r>
              <w:rPr>
                <w:rFonts w:hint="eastAsia" w:asciiTheme="minorEastAsia" w:hAnsiTheme="minorEastAsia" w:eastAsiaTheme="minorEastAsia" w:cstheme="minorEastAsia"/>
                <w:b/>
                <w:bCs/>
                <w:color w:val="000000"/>
                <w:kern w:val="0"/>
                <w:sz w:val="24"/>
                <w:szCs w:val="24"/>
                <w:lang w:val="en-US" w:eastAsia="zh-CN"/>
              </w:rPr>
              <w:t>数量</w:t>
            </w:r>
          </w:p>
        </w:tc>
        <w:tc>
          <w:tcPr>
            <w:tcW w:w="0" w:type="auto"/>
            <w:vAlign w:val="center"/>
          </w:tcPr>
          <w:p>
            <w:pPr>
              <w:keepNext w:val="0"/>
              <w:keepLines w:val="0"/>
              <w:pageBreakBefore w:val="0"/>
              <w:widowControl/>
              <w:kinsoku/>
              <w:wordWrap/>
              <w:overflowPunct/>
              <w:topLinePunct w:val="0"/>
              <w:autoSpaceDE/>
              <w:autoSpaceDN/>
              <w:bidi w:val="0"/>
              <w:adjustRightInd/>
              <w:snapToGrid/>
              <w:spacing w:line="288" w:lineRule="auto"/>
              <w:jc w:val="center"/>
              <w:rPr>
                <w:rFonts w:hint="eastAsia" w:asciiTheme="minorEastAsia" w:hAnsiTheme="minorEastAsia" w:eastAsiaTheme="minorEastAsia" w:cstheme="minorEastAsia"/>
                <w:b/>
                <w:bCs/>
                <w:color w:val="000000"/>
                <w:kern w:val="0"/>
                <w:sz w:val="24"/>
                <w:szCs w:val="24"/>
                <w:lang w:val="en-US" w:eastAsia="zh-CN"/>
              </w:rPr>
            </w:pPr>
            <w:r>
              <w:rPr>
                <w:rFonts w:hint="eastAsia" w:asciiTheme="minorEastAsia" w:hAnsiTheme="minorEastAsia" w:eastAsiaTheme="minorEastAsia" w:cstheme="minorEastAsia"/>
                <w:b/>
                <w:bCs/>
                <w:color w:val="000000"/>
                <w:kern w:val="0"/>
                <w:sz w:val="24"/>
                <w:szCs w:val="24"/>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pStyle w:val="8"/>
              <w:keepNext w:val="0"/>
              <w:keepLines w:val="0"/>
              <w:pageBreakBefore w:val="0"/>
              <w:kinsoku/>
              <w:wordWrap/>
              <w:overflowPunct/>
              <w:topLinePunct w:val="0"/>
              <w:autoSpaceDE/>
              <w:autoSpaceDN/>
              <w:bidi w:val="0"/>
              <w:adjustRightInd/>
              <w:snapToGrid/>
              <w:spacing w:line="288" w:lineRule="auto"/>
              <w:ind w:firstLine="0" w:firstLineChars="0"/>
              <w:jc w:val="center"/>
              <w:rPr>
                <w:rFonts w:hint="eastAsia" w:asciiTheme="minorEastAsia" w:hAnsiTheme="minorEastAsia" w:eastAsiaTheme="minorEastAsia" w:cstheme="minorEastAsia"/>
                <w:kern w:val="2"/>
                <w:sz w:val="24"/>
                <w:szCs w:val="24"/>
                <w:vertAlign w:val="baseline"/>
                <w:lang w:val="en-US" w:eastAsia="zh-CN" w:bidi="ar-SA"/>
              </w:rPr>
            </w:pPr>
            <w:r>
              <w:rPr>
                <w:rFonts w:hint="eastAsia" w:asciiTheme="minorEastAsia" w:hAnsiTheme="minorEastAsia" w:eastAsiaTheme="minorEastAsia" w:cstheme="minorEastAsia"/>
                <w:kern w:val="2"/>
                <w:sz w:val="24"/>
                <w:szCs w:val="24"/>
                <w:vertAlign w:val="baseline"/>
                <w:lang w:val="en-US" w:eastAsia="zh-CN" w:bidi="ar-SA"/>
              </w:rPr>
              <w:t>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288" w:lineRule="auto"/>
              <w:jc w:val="center"/>
              <w:rPr>
                <w:rFonts w:hint="eastAsia" w:asciiTheme="minorEastAsia" w:hAnsiTheme="minorEastAsia" w:eastAsiaTheme="minorEastAsia" w:cstheme="minorEastAsia"/>
                <w:bCs/>
                <w:color w:val="000000"/>
                <w:kern w:val="0"/>
                <w:sz w:val="24"/>
                <w:szCs w:val="24"/>
                <w:lang w:val="en-US" w:eastAsia="zh-CN" w:bidi="ar-SA"/>
              </w:rPr>
            </w:pPr>
            <w:r>
              <w:rPr>
                <w:rFonts w:hint="eastAsia" w:asciiTheme="minorEastAsia" w:hAnsiTheme="minorEastAsia" w:eastAsiaTheme="minorEastAsia" w:cstheme="minorEastAsia"/>
                <w:bCs/>
                <w:color w:val="000000"/>
                <w:kern w:val="0"/>
                <w:sz w:val="24"/>
                <w:szCs w:val="24"/>
              </w:rPr>
              <w:t>综合后备IBP盘系统</w:t>
            </w:r>
          </w:p>
        </w:tc>
        <w:tc>
          <w:tcPr>
            <w:tcW w:w="0" w:type="auto"/>
            <w:vAlign w:val="center"/>
          </w:tcPr>
          <w:p>
            <w:pPr>
              <w:keepNext w:val="0"/>
              <w:keepLines w:val="0"/>
              <w:pageBreakBefore w:val="0"/>
              <w:kinsoku/>
              <w:wordWrap/>
              <w:overflowPunct/>
              <w:topLinePunct w:val="0"/>
              <w:autoSpaceDE/>
              <w:autoSpaceDN/>
              <w:bidi w:val="0"/>
              <w:adjustRightInd/>
              <w:snapToGrid/>
              <w:spacing w:line="288" w:lineRule="auto"/>
              <w:ind w:leftChars="-1" w:hanging="2"/>
              <w:jc w:val="both"/>
              <w:rPr>
                <w:rFonts w:hint="eastAsia"/>
              </w:rPr>
            </w:pPr>
            <w:r>
              <w:rPr>
                <w:rFonts w:hint="eastAsia"/>
              </w:rPr>
              <w:t>1）要求为地铁现场实际使用产品，功能和盘面设计与某个城市的大型标准站一致，不接受模型及仿制产品投标。IBP盘上所有模块紧急操作按钮（包括但不限于：信号、屏蔽门、自动扶梯、AFC闸机、环控、隧道通风等），可实现对实物设备进行紧急控制，无对应实物设备则必须通过仿真模块进行数据响应；ISCS综合监控系统可对IBP盘上所有操作指令对应的实物设备和虚拟设备进行动态监控，上下行紧急停车按钮可以分别对当前车站虚拟列车进行紧急停车操作。</w:t>
            </w:r>
          </w:p>
          <w:p>
            <w:pPr>
              <w:keepNext w:val="0"/>
              <w:keepLines w:val="0"/>
              <w:pageBreakBefore w:val="0"/>
              <w:kinsoku/>
              <w:wordWrap/>
              <w:overflowPunct/>
              <w:topLinePunct w:val="0"/>
              <w:autoSpaceDE/>
              <w:autoSpaceDN/>
              <w:bidi w:val="0"/>
              <w:adjustRightInd/>
              <w:snapToGrid/>
              <w:spacing w:line="288" w:lineRule="auto"/>
              <w:ind w:leftChars="-1" w:hanging="2"/>
              <w:jc w:val="both"/>
              <w:rPr>
                <w:rFonts w:hint="eastAsia"/>
              </w:rPr>
            </w:pPr>
            <w:r>
              <w:rPr>
                <w:rFonts w:hint="eastAsia"/>
              </w:rPr>
              <w:t>2）IBP面板采用优质马赛克材料制作，并设置各种切换开关、紧急控制按钮和指示灯、蜂鸣器等。各种切换开关、紧急控制按钮和指示灯、蜂鸣器等满足工业标准，防尘防水，开关操作次数&gt;500万次。IBP由四块组成，每块马赛克屏大小为1000mm×825mm(宽×高)，厚度为300mm，总体高度约为2050mm，主体结构使用的钢板厚度不少于2mm。总体按弧线布置，背面带门，内置背板，可安装本系统和第三方系统设备。</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rPr>
            </w:pPr>
            <w:r>
              <w:rPr>
                <w:rFonts w:hint="eastAsia"/>
              </w:rPr>
              <w:t>3）IBP盘台设计应方便操作和维修，具有安全性、可靠性，防护能力、散热能力、防火能力和屏蔽功能。IBP盘台应能被拆分，便于运输和安装。IBP与操作台由深100mm，宽4000mm，高500mm左右的箱体连接，方便内部配线。操作台高750(台面安装高度)mm，宽4000mm，深为1150mm。柜内布线整齐美观，方便维修。</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rPr>
            </w:pPr>
            <w:r>
              <w:rPr>
                <w:rFonts w:hint="eastAsia"/>
              </w:rPr>
              <w:t>4）IBP盘体钢板、托板、安装板采用冷轧钢板，需做防火处理。</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rPr>
            </w:pPr>
            <w:r>
              <w:rPr>
                <w:rFonts w:hint="eastAsia"/>
              </w:rPr>
              <w:t>5）IBP盘面下面为设备操作台，操作台面与IBP盘面之间在垂直方向预留约高500mm空间放置显示器和各类电话等设备，各系统工作站主机和远程I/O及其附属设备放置在操作台内，操作台应满足6个控制工作站的放置，还应考虑远程I/O及其附属设备、各类电话的安放位置。</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rPr>
            </w:pPr>
            <w:r>
              <w:rPr>
                <w:rFonts w:hint="eastAsia"/>
              </w:rPr>
              <w:t>6）操作台应采用阻燃进口环保材料制作；</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rPr>
            </w:pPr>
            <w:r>
              <w:rPr>
                <w:rFonts w:hint="eastAsia"/>
              </w:rPr>
              <w:t>7）马赛克材料：阻燃型环保工程材料（确保5年内不会产生色差）。防火等级为B级：离火自熄；</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rPr>
            </w:pPr>
            <w:r>
              <w:rPr>
                <w:rFonts w:hint="eastAsia"/>
              </w:rPr>
              <w:t>8）马赛克的文字采用雕刻；</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rPr>
            </w:pPr>
            <w:r>
              <w:rPr>
                <w:rFonts w:hint="eastAsia"/>
              </w:rPr>
              <w:t>9）落地柜体后部上下设置对流通风孔，内设焊装过滤网（含防尘功能），便于柜内元件散热并能有效防止尘土进入。</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rPr>
            </w:pPr>
            <w:r>
              <w:rPr>
                <w:rFonts w:hint="eastAsia"/>
              </w:rPr>
              <w:t>10）落地柜体后面带门，并可拆卸，以利于柜内作业和设备更换。柜门通风口加防尘网（不允许采用简单的粘贴安装工艺）。</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rPr>
            </w:pPr>
            <w:r>
              <w:rPr>
                <w:rFonts w:hint="eastAsia"/>
              </w:rPr>
              <w:t>11）每个单元落地柜体两个侧面各安装2个风扇，并加装便于拆装的防尘罩。并且相邻落地柜体的风扇错开一定距离，使得排风时排风通道互不干扰。</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rPr>
            </w:pPr>
            <w:r>
              <w:rPr>
                <w:rFonts w:hint="eastAsia"/>
              </w:rPr>
              <w:t>12）IBP盘面下操作台采用下部进出线方式，方便与操作台下柜子内部安装的各种工作站主机和供电电源装置的联接。柜内布线应整齐美观，方便维修。IBP内应配备足够的接线端子和线槽满足盘台内走线和接线的需要，端子排端子数量应满足要求，并保证提供后续升级所需的端子量。</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rPr>
            </w:pPr>
            <w:r>
              <w:rPr>
                <w:rFonts w:hint="eastAsia"/>
              </w:rPr>
              <w:t>13）IBP盘上按钮、指示灯的数量满足实际的需求,按钮和指示灯的具体数量需同所选地铁车站现场IBP盘一致。</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rPr>
            </w:pPr>
            <w:r>
              <w:rPr>
                <w:rFonts w:hint="eastAsia"/>
              </w:rPr>
              <w:t>14）IBP盘的喷涂工艺应满足城市特殊的潮湿环境要求。</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rPr>
            </w:pPr>
            <w:r>
              <w:rPr>
                <w:rFonts w:hint="eastAsia"/>
              </w:rPr>
              <w:t>15）IBP盘场景演练模块，配备工作站及与IBP盘盘面显示模块对应的场景显示，实现学生对IBP盘操作在虚拟场景中全面展示，也可以通过虚拟场景操作反馈给IBP。学生通过它掌握行车值班人员对IBP盘的基本操作技能以及操作之后对应的虚拟车站对应设备动作状态变化。系统包含但不限于以下内容：自动扶梯及电梯：自动扶梯急停（正常）、自动扶梯急停（停止）；AFC闸机：闸机紧急释放（正常工作）、闸机紧急释放（紧急释放）；门禁：刷卡进门（门禁正常）、直接进门（门禁停止）；屏蔽门：屏蔽门打开、屏蔽门关闭；信号：扣车、取消扣车、紧急停车、取消紧停；隧道通风：上行车头火灾、上行车尾火灾、下行车头火灾、下行车尾火灾；环境与设备监控：设备房火灾模式、公共区火灾模式。动画场景与IBP各操作模块同步演示。</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★提供重庆地铁两路口站对应现场一致的盘面设计图。</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rPr>
            </w:pPr>
            <w:r>
              <w:rPr>
                <w:rFonts w:hint="eastAsia"/>
                <w:lang w:val="en-US" w:eastAsia="zh-CN"/>
              </w:rPr>
              <w:t>★本项目所模拟的场景均来源于铁路现场，要求投标人或制造商能提供铁路实际运营单位允许其公司进入生产实际现场进行拍摄和取材的实力证明文件，各投标人或制造商需提供国内铁路实际运营单位或铁路现场单位盖章的证明文件复印件加盖公章，原件备查。</w:t>
            </w:r>
          </w:p>
          <w:p>
            <w:pPr>
              <w:keepNext w:val="0"/>
              <w:keepLines w:val="0"/>
              <w:pageBreakBefore w:val="0"/>
              <w:kinsoku/>
              <w:wordWrap/>
              <w:overflowPunct/>
              <w:topLinePunct w:val="0"/>
              <w:autoSpaceDE/>
              <w:autoSpaceDN/>
              <w:bidi w:val="0"/>
              <w:adjustRightInd/>
              <w:snapToGrid/>
              <w:spacing w:line="288" w:lineRule="auto"/>
              <w:ind w:leftChars="-1" w:hanging="2"/>
              <w:jc w:val="both"/>
              <w:rPr>
                <w:rFonts w:hint="eastAsia"/>
                <w:lang w:eastAsia="zh-CN"/>
              </w:rPr>
            </w:pPr>
            <w:r>
              <w:rPr>
                <w:rFonts w:hint="eastAsia"/>
                <w:lang w:val="en-US" w:eastAsia="zh-CN"/>
              </w:rPr>
              <w:t>★</w:t>
            </w:r>
            <w:r>
              <w:rPr>
                <w:rFonts w:hint="eastAsia"/>
              </w:rPr>
              <w:t>IBP盘系统与学</w:t>
            </w:r>
            <w:r>
              <w:rPr>
                <w:rFonts w:hint="eastAsia"/>
                <w:lang w:eastAsia="zh-CN"/>
              </w:rPr>
              <w:t>校</w:t>
            </w:r>
            <w:r>
              <w:rPr>
                <w:rFonts w:hint="eastAsia"/>
              </w:rPr>
              <w:t>原有AFC售检票系统进行通讯，紧急情况下，可以通过综合后备IBP盘，对闸机进行全开或全关处理，紧急状态解除，再恢复常态。</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联动学校屏蔽门/自动售检票实训系统，实现系统和数据的联动上传，并能实现远程的开启全部屏蔽门和闸机通道释放开启等操作，同时能监控学校屏蔽门/自动售检票实训系统的状态，投标人在投标文件中出具联动承诺函、联动接口协议及联动技术实现方案。</w:t>
            </w:r>
          </w:p>
          <w:p>
            <w:pPr>
              <w:pStyle w:val="2"/>
              <w:jc w:val="both"/>
              <w:rPr>
                <w:rFonts w:hint="eastAsia"/>
                <w:lang w:val="en-US" w:eastAsia="zh-CN"/>
              </w:rPr>
            </w:pPr>
          </w:p>
        </w:tc>
        <w:tc>
          <w:tcPr>
            <w:tcW w:w="0" w:type="auto"/>
            <w:vAlign w:val="center"/>
          </w:tcPr>
          <w:p>
            <w:pPr>
              <w:keepNext w:val="0"/>
              <w:keepLines w:val="0"/>
              <w:pageBreakBefore w:val="0"/>
              <w:widowControl/>
              <w:kinsoku/>
              <w:wordWrap/>
              <w:overflowPunct/>
              <w:topLinePunct w:val="0"/>
              <w:autoSpaceDE/>
              <w:autoSpaceDN/>
              <w:bidi w:val="0"/>
              <w:adjustRightInd/>
              <w:snapToGrid/>
              <w:spacing w:line="288" w:lineRule="auto"/>
              <w:jc w:val="center"/>
              <w:rPr>
                <w:rFonts w:hint="default" w:asciiTheme="minorEastAsia" w:hAnsiTheme="minorEastAsia" w:eastAsiaTheme="minorEastAsia" w:cstheme="minorEastAsia"/>
                <w:bCs/>
                <w:color w:val="000000"/>
                <w:kern w:val="0"/>
                <w:sz w:val="24"/>
                <w:szCs w:val="24"/>
                <w:lang w:val="en-US" w:eastAsia="zh-CN" w:bidi="ar-SA"/>
              </w:rPr>
            </w:pPr>
            <w:r>
              <w:rPr>
                <w:rFonts w:hint="eastAsia" w:asciiTheme="minorEastAsia" w:hAnsiTheme="minorEastAsia" w:eastAsiaTheme="minorEastAsia" w:cstheme="minorEastAsia"/>
                <w:bCs/>
                <w:color w:val="000000"/>
                <w:kern w:val="0"/>
                <w:sz w:val="24"/>
                <w:szCs w:val="24"/>
                <w:lang w:val="en-US" w:eastAsia="zh-CN" w:bidi="ar-SA"/>
              </w:rPr>
              <w:t>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288" w:lineRule="auto"/>
              <w:jc w:val="center"/>
              <w:rPr>
                <w:rFonts w:hint="eastAsia" w:asciiTheme="minorEastAsia" w:hAnsiTheme="minorEastAsia" w:eastAsiaTheme="minorEastAsia" w:cstheme="minorEastAsia"/>
                <w:bCs/>
                <w:color w:val="000000"/>
                <w:kern w:val="0"/>
                <w:sz w:val="24"/>
                <w:szCs w:val="24"/>
                <w:lang w:val="en-US" w:eastAsia="zh-CN" w:bidi="ar-SA"/>
              </w:rPr>
            </w:pPr>
            <w:r>
              <w:rPr>
                <w:rFonts w:hint="eastAsia" w:asciiTheme="minorEastAsia" w:hAnsiTheme="minorEastAsia" w:eastAsiaTheme="minorEastAsia" w:cstheme="minorEastAsia"/>
                <w:bCs/>
                <w:color w:val="000000"/>
                <w:kern w:val="0"/>
                <w:sz w:val="24"/>
                <w:szCs w:val="24"/>
                <w:lang w:val="en-US" w:eastAsia="zh-CN" w:bidi="ar-S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pStyle w:val="8"/>
              <w:keepNext w:val="0"/>
              <w:keepLines w:val="0"/>
              <w:pageBreakBefore w:val="0"/>
              <w:kinsoku/>
              <w:wordWrap/>
              <w:overflowPunct/>
              <w:topLinePunct w:val="0"/>
              <w:autoSpaceDE/>
              <w:autoSpaceDN/>
              <w:bidi w:val="0"/>
              <w:adjustRightInd/>
              <w:snapToGrid/>
              <w:spacing w:line="288" w:lineRule="auto"/>
              <w:ind w:firstLine="0" w:firstLineChars="0"/>
              <w:jc w:val="center"/>
              <w:rPr>
                <w:rFonts w:hint="eastAsia" w:asciiTheme="minorEastAsia" w:hAnsiTheme="minorEastAsia" w:eastAsiaTheme="minorEastAsia" w:cstheme="minorEastAsia"/>
                <w:kern w:val="2"/>
                <w:sz w:val="24"/>
                <w:szCs w:val="24"/>
                <w:vertAlign w:val="baseline"/>
                <w:lang w:val="en-US" w:eastAsia="zh-CN" w:bidi="ar-SA"/>
              </w:rPr>
            </w:pPr>
            <w:r>
              <w:rPr>
                <w:rFonts w:hint="eastAsia" w:asciiTheme="minorEastAsia" w:hAnsiTheme="minorEastAsia" w:eastAsiaTheme="minorEastAsia" w:cstheme="minorEastAsia"/>
                <w:kern w:val="2"/>
                <w:sz w:val="24"/>
                <w:szCs w:val="24"/>
                <w:vertAlign w:val="baseline"/>
                <w:lang w:val="en-US" w:eastAsia="zh-CN" w:bidi="ar-SA"/>
              </w:rPr>
              <w:t>2</w:t>
            </w:r>
          </w:p>
        </w:tc>
        <w:tc>
          <w:tcPr>
            <w:tcW w:w="0" w:type="auto"/>
            <w:vAlign w:val="center"/>
          </w:tcPr>
          <w:p>
            <w:pPr>
              <w:keepNext w:val="0"/>
              <w:keepLines w:val="0"/>
              <w:pageBreakBefore w:val="0"/>
              <w:widowControl/>
              <w:kinsoku/>
              <w:wordWrap/>
              <w:overflowPunct/>
              <w:topLinePunct w:val="0"/>
              <w:autoSpaceDE/>
              <w:autoSpaceDN/>
              <w:bidi w:val="0"/>
              <w:adjustRightInd/>
              <w:snapToGrid/>
              <w:spacing w:line="288" w:lineRule="auto"/>
              <w:jc w:val="center"/>
              <w:rPr>
                <w:rFonts w:hint="eastAsia" w:asciiTheme="minorEastAsia" w:hAnsiTheme="minorEastAsia" w:eastAsiaTheme="minorEastAsia" w:cstheme="minorEastAsia"/>
                <w:bCs/>
                <w:color w:val="000000"/>
                <w:kern w:val="0"/>
                <w:sz w:val="24"/>
                <w:szCs w:val="24"/>
                <w:lang w:val="en-US" w:eastAsia="zh-CN" w:bidi="ar-SA"/>
              </w:rPr>
            </w:pPr>
            <w:r>
              <w:rPr>
                <w:rFonts w:hint="eastAsia" w:asciiTheme="minorEastAsia" w:hAnsiTheme="minorEastAsia" w:eastAsiaTheme="minorEastAsia" w:cstheme="minorEastAsia"/>
                <w:bCs/>
                <w:color w:val="000000"/>
                <w:kern w:val="0"/>
                <w:sz w:val="24"/>
                <w:szCs w:val="24"/>
              </w:rPr>
              <w:t>车站综合监控ISCS系统</w:t>
            </w:r>
          </w:p>
        </w:tc>
        <w:tc>
          <w:tcPr>
            <w:tcW w:w="0" w:type="auto"/>
            <w:vAlign w:val="center"/>
          </w:tcPr>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1.系统总体要求：</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1）本系统必须为地铁车站实际使用产品，功能与地铁使用产品一致，不接受模型及仿制产品投标。</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2）ISCS需集成以下系统：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变电所自动化（PSCADA）</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环境与设备监控系统（BAS）</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火灾报警系统（FAS）</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屏蔽门系统（PSD）</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防淹门系统（FG）</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闭路电视系统CCTV）</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信号系统（SIG）</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自动售检票系统（AFC）</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广播系统（PA）</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通信集中网管系统(TEL/ALARM)</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无线通信系统（RCS）</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乘客信息系统（PIS）</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时钟系统（CLK）</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门禁系统（ACS）</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3）互联：信号系统（SIG），自动售检票系统（AFC），广播系统（PA），</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闭路电视监控系统（CCTV），乘客信息系统（PIS）， 时钟系统（CLK），通信集中告警系统（TEL/ALARM）。</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4）综合监控培训系统设置的目的是使学员处于模拟仿真的ISCS操作环境，对学员能进行各种ISCS的培训操作，包括仿真单点的设置、遥控、组控、模式控制等功能。</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5）培训系统采用物理模拟和数字仿真相结合的方式，用于运营人员的培训，采用与实际地铁线一致的地铁ISCS系统数据库、人机界面，以增强培训效果。</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6）培训系统的物理模拟部分包括本实训中心各实物子系统的真实接入数据，配置规模与实物规模匹配，并具有输入输出信号量的功能来模拟就地级设备的状态。</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7）车站综合监控系统与各子系统实物接口协议及类型同实际地铁完全一致。</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2.系统功能及特点</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1）采用与实际地铁线车站ISCS系统一致的数据库、人机界面，可培训ISCS各系统的操作；</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2）系统在任何情况下，必须严格保证数据的单一性：严格禁止向ISCS发送任何命令，只读不写；</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3）培训仿真系统能提供服务器、数据库、交换机等设备的实操培训；</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4）针对重要的ISCS系统功能进行模拟培训，如：半自动联动功能；静态报表（仅部分静态报表，用来在屏幕上显示或打印）；报警（用于生成报警以培训操作员对报警的反应）、事件（操作记录等）。</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5）系统具有模拟监控模式：系统将保持当前已刷新的系统数据，允许受训人员进行模拟操作（与实际运营的操作命令相同），并提供模拟脚本，模拟部分行为，在实现部分功能闭环模拟。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3.实操培训功能</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培训仿真系统系统具有对操作人员、运行维护人员进行培训的功能，使其掌握ISCS的运行管理、操作、以及日常维护、故障排除等业务。</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1）人机界面</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培训仿真系统系统人机界面的界面风格和操作功能与实际运行的ISCS系统的人机界面相同，即和综合监控系统下各个系统的界面相同。在培训时也不会向培训人员产生二异性，所有的模拟行为和现场实际操作一致，唯一有区别的就是监视的数据源来自不同的地方，控制命令只是发到模拟仿真器。</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2）设备故障模拟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车站综合监控系统在基于真实系统平台的常规操作外，本培训系统中，需进行二次开发出故障模拟功能，包括：设备故障模拟和事故场景模拟，能够通过各类子系统的故障及事故场景的设置，达到技能考核的目的。</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3）数据库</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在模拟监控模式下，允许操作员对模拟设备或BAS及PSCADA等子系统设备进行操作，操作功能包括单点的设置、遥控、模式控制功能(控制输出及状态返回模拟)，包括隧道通风系统、车站大小系统、车站空调水系统、给排水系统、电扶梯系统、动力照明系统、应急照明系统各种运行工况的模拟操作、状态监视、故障模拟等。系统数字模拟部分的数据库数据结构和数据元素类型同和实际地铁运营系一致，系统数字模拟部分的数据不会扰乱或改变实际系统的状态，独立于实际运行的ISCS的模拟培训用数据。</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4）模式与联动</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监控系统采用运行模式切换控制的方式处理各种紧急事件，培训仿真系统在具备类似功能外，还必须设置单体模式和整体联动相结合的控制方式。监控平台的联动管理系统提供方便直观的联动配置和联动执行客户端，包括联动触发源的配置，联动预案的配置，联动预案项的配置，以及触发源、预案、预案项关系的配置和联动监视客户端。例如站台火灾模式和联动功能，场景模拟画面设置站台的感烟探测器火灾报警或者手报按钮报警，受训人员在相应画面或报警画面中发现火灾报警，并确认火灾情况下，可通过环控模式画面或者站台火灾联动功能，迅速下发站台火灾灾害模式指令，控制通风空调、机电设备转入相应的灾害运行模式，同时BAS及PSCADA相应模拟设备也会根据火灾联动预案执行一系列的控制命令。</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通过反演事故场景或预设设备故障的培训，可以使被受训人员对于各种应急预案或灾害模式下的模式联动有更直观、更深入的理解，提高其面对应急事件时的反应速度和操作准确率，具有很高的现实意义。</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5）PSCADA系统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PSCADA系统是地铁车站的电力监控系统，作为综合监控的一个子系统接入综合监控。在系统中设置电力设备如断路器、隔离开关等设备的模拟控制和显示功能，因电力设备的操作需要按照相关规范进行，系统必须提供与实际操作要求一致的连锁逻辑。当车站进入灾害模式后，PSCADA子系统相关模拟设备将按照联动预案执行。</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6）BAS系统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a.车站大小系统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车站大小系统为车站公共区和设备区提供通风、排风、灾害情况辅助排烟等功能。车站大小系统通风界面中能真实再现地铁车站的送排风的实际操作和显示。提供包括各类风机、风阀的单点控制模拟，模式功能的模拟，时间表、焓值控制的模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b.隧道通风系统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隧道通风系统为区间隧道提供通风、排风、灾害情况辅助排烟等功能。</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隧道通风系统界面中能真实再现地铁车站的送排风的实际操作和显示。提供包括各类风机、风阀的单点控制模拟，模式功能的模拟。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c.空调水系统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空调水系统界面中能真实再现地铁车站的供冷的实际操作和显示。提供包括冷水机组的单点控制模拟，模式功能的模拟。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d.给排水系统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给排水系统界面中能真实再现地铁车站的污废水排出的实际操作和显示。提供包括污水泵、废水泵、雨水泵、区间泵的监视与控制功能模拟。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e.电扶梯系统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电扶梯系统界面中能真实再现地铁车站的自动扶梯和电梯的运行状态显示。提供包括自动扶梯、垂直电梯的监视模拟。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f.照明系统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照明系统界面中能真实再现地铁车站的各类照明的显示和控制。提供包括区间照明、车站智能照明的监视和控制模拟。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7)PA系统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PA系统界面中能真实再现地铁车站中进行广播的预录制的信息操作，在车站各个区域播放广播的操作模拟。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8) PIS系统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PIS系统界面中能真实再现地铁车站播出各站信息的模拟。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9)CCTV系统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CCTV系统界面中能真实再现地铁车站切换摄像头监视和分屏等相关操作和显示模拟。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10)PSD系统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PSD系统界面中能真实再现地铁车站屏蔽门开关门状态的显示模拟。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11)ACS系统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ACS系统界面中能真实再现地铁车站各设备房间门禁的开关门操作和显示的模拟。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12)AFC系统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AFC系统界面中能真实再现地铁车站检票闸机的显示的模拟。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13)FAS系统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FAS系统界面中能真实再现地铁车站FAS系统中烟感、温感、专业排烟风机的显示的模拟。</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zh-CN" w:eastAsia="zh-CN"/>
              </w:rPr>
            </w:pPr>
            <w:r>
              <w:rPr>
                <w:rFonts w:hint="eastAsia"/>
                <w:lang w:val="en-US" w:eastAsia="zh-CN"/>
              </w:rPr>
              <w:t>4.车站综合监控ISCS工作站1套：CPU：I3；处理器主频：2.80GHz；内存：4GB DDR3；硬盘：1TGB 7200 RPM 3.5英寸SATA硬盘；鼠键：USB光电鼠标、USB商务键盘；显示器：22寸液晶显示器</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车站综合监控ISCS系统与AFC售检票系统进行通讯，由ISCS综合监控系统监控闸机开闸、闸机关闸、闸机硬件故障、离线等状态；紧急情况下，可以通过综合后备IBP盘，对闸机进行全开或全关处理，紧急状态解除，再恢复常态。</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lang w:val="en-US" w:eastAsia="zh-CN"/>
              </w:rPr>
            </w:pPr>
            <w:r>
              <w:rPr>
                <w:rFonts w:hint="eastAsia"/>
                <w:lang w:val="en-US" w:eastAsia="zh-CN"/>
              </w:rPr>
              <w:t>★为保证项目的顺利联调联动功能，投标单位或制造商必须具备工信部认定的高级软件技术开发工程师及三维动画设计师；标书内提供证书复印件及该单位为其缴纳的近三月社保材料加盖公章，证件原件备查。</w:t>
            </w:r>
          </w:p>
          <w:p>
            <w:pPr>
              <w:keepNext w:val="0"/>
              <w:keepLines w:val="0"/>
              <w:pageBreakBefore w:val="0"/>
              <w:widowControl/>
              <w:kinsoku/>
              <w:wordWrap/>
              <w:overflowPunct/>
              <w:topLinePunct w:val="0"/>
              <w:autoSpaceDE/>
              <w:autoSpaceDN/>
              <w:bidi w:val="0"/>
              <w:adjustRightInd/>
              <w:snapToGrid/>
              <w:spacing w:line="288" w:lineRule="auto"/>
              <w:jc w:val="both"/>
              <w:rPr>
                <w:rFonts w:hint="eastAsia" w:asciiTheme="minorEastAsia" w:hAnsiTheme="minorEastAsia" w:eastAsiaTheme="minorEastAsia" w:cstheme="minorEastAsia"/>
                <w:bCs/>
                <w:color w:val="000000"/>
                <w:kern w:val="0"/>
                <w:sz w:val="24"/>
                <w:szCs w:val="24"/>
                <w:lang w:val="en-US" w:eastAsia="zh-CN" w:bidi="ar-SA"/>
              </w:rPr>
            </w:pPr>
          </w:p>
        </w:tc>
        <w:tc>
          <w:tcPr>
            <w:tcW w:w="0" w:type="auto"/>
            <w:vAlign w:val="center"/>
          </w:tcPr>
          <w:p>
            <w:pPr>
              <w:keepNext w:val="0"/>
              <w:keepLines w:val="0"/>
              <w:pageBreakBefore w:val="0"/>
              <w:widowControl/>
              <w:kinsoku/>
              <w:wordWrap/>
              <w:overflowPunct/>
              <w:topLinePunct w:val="0"/>
              <w:autoSpaceDE/>
              <w:autoSpaceDN/>
              <w:bidi w:val="0"/>
              <w:adjustRightInd/>
              <w:snapToGrid/>
              <w:spacing w:line="288" w:lineRule="auto"/>
              <w:jc w:val="center"/>
              <w:rPr>
                <w:rFonts w:hint="default" w:asciiTheme="minorEastAsia" w:hAnsiTheme="minorEastAsia" w:eastAsiaTheme="minorEastAsia" w:cstheme="minorEastAsia"/>
                <w:bCs/>
                <w:color w:val="000000"/>
                <w:kern w:val="0"/>
                <w:sz w:val="24"/>
                <w:szCs w:val="24"/>
                <w:lang w:val="en-US" w:eastAsia="zh-CN" w:bidi="ar-SA"/>
              </w:rPr>
            </w:pPr>
            <w:r>
              <w:rPr>
                <w:rFonts w:hint="eastAsia" w:asciiTheme="minorEastAsia" w:hAnsiTheme="minorEastAsia" w:eastAsiaTheme="minorEastAsia" w:cstheme="minorEastAsia"/>
                <w:bCs/>
                <w:color w:val="000000"/>
                <w:kern w:val="0"/>
                <w:sz w:val="24"/>
                <w:szCs w:val="24"/>
                <w:lang w:val="en-US" w:eastAsia="zh-CN" w:bidi="ar-SA"/>
              </w:rPr>
              <w:t>1</w:t>
            </w:r>
          </w:p>
        </w:tc>
        <w:tc>
          <w:tcPr>
            <w:tcW w:w="0" w:type="auto"/>
            <w:vAlign w:val="center"/>
          </w:tcPr>
          <w:p>
            <w:pPr>
              <w:keepNext w:val="0"/>
              <w:keepLines w:val="0"/>
              <w:pageBreakBefore w:val="0"/>
              <w:widowControl/>
              <w:kinsoku/>
              <w:wordWrap/>
              <w:overflowPunct/>
              <w:topLinePunct w:val="0"/>
              <w:autoSpaceDE/>
              <w:autoSpaceDN/>
              <w:bidi w:val="0"/>
              <w:adjustRightInd/>
              <w:snapToGrid/>
              <w:spacing w:line="288" w:lineRule="auto"/>
              <w:jc w:val="center"/>
              <w:rPr>
                <w:rFonts w:hint="eastAsia" w:asciiTheme="minorEastAsia" w:hAnsiTheme="minorEastAsia" w:eastAsiaTheme="minorEastAsia" w:cstheme="minorEastAsia"/>
                <w:bCs/>
                <w:color w:val="000000"/>
                <w:kern w:val="0"/>
                <w:sz w:val="24"/>
                <w:szCs w:val="24"/>
                <w:lang w:val="en-US" w:eastAsia="zh-CN" w:bidi="ar-SA"/>
              </w:rPr>
            </w:pPr>
            <w:r>
              <w:rPr>
                <w:rFonts w:hint="eastAsia" w:asciiTheme="minorEastAsia" w:hAnsiTheme="minorEastAsia" w:eastAsiaTheme="minorEastAsia" w:cstheme="minorEastAsia"/>
                <w:bCs/>
                <w:color w:val="000000"/>
                <w:kern w:val="0"/>
                <w:sz w:val="24"/>
                <w:szCs w:val="24"/>
                <w:lang w:val="en-US" w:eastAsia="zh-CN" w:bidi="ar-SA"/>
              </w:rPr>
              <w:t>套</w:t>
            </w:r>
          </w:p>
        </w:tc>
      </w:tr>
    </w:tbl>
    <w:p>
      <w:pPr>
        <w:rPr>
          <w:rFonts w:hint="eastAsia"/>
          <w:lang w:eastAsia="zh-CN"/>
        </w:rPr>
      </w:pPr>
      <w: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5OWI2YmVmMzBkNTRjNDhhZjcxZTZiNDE0ZWM0YzkifQ=="/>
  </w:docVars>
  <w:rsids>
    <w:rsidRoot w:val="00000000"/>
    <w:rsid w:val="388D4D7E"/>
    <w:rsid w:val="6CFD0DF2"/>
    <w:rsid w:val="75EF51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Lines="0" w:beforeAutospacing="0" w:afterLines="0" w:afterAutospacing="0" w:line="360" w:lineRule="auto"/>
      <w:ind w:firstLine="0" w:firstLineChars="0"/>
      <w:jc w:val="left"/>
      <w:outlineLvl w:val="1"/>
    </w:pPr>
    <w:rPr>
      <w:rFonts w:ascii="宋体" w:hAnsi="宋体" w:eastAsia="宋体" w:cs="宋体"/>
      <w:b/>
      <w:bCs/>
      <w:sz w:val="32"/>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D图"/>
    <w:basedOn w:val="1"/>
    <w:qFormat/>
    <w:uiPriority w:val="0"/>
    <w:pPr>
      <w:spacing w:line="360" w:lineRule="auto"/>
      <w:ind w:firstLine="0" w:firstLineChars="0"/>
      <w:jc w:val="center"/>
    </w:pPr>
    <w:rPr>
      <w:rFonts w:ascii="宋体" w:hAnsi="宋体" w:eastAsia="宋体"/>
      <w:sz w:val="21"/>
      <w:szCs w:val="22"/>
    </w:rPr>
  </w:style>
  <w:style w:type="paragraph" w:customStyle="1" w:styleId="9">
    <w:name w:val="Plain Text"/>
    <w:basedOn w:val="1"/>
    <w:qFormat/>
    <w:uiPriority w:val="0"/>
    <w:rPr>
      <w:rFonts w:ascii="宋体" w:hAnsi="Courier New"/>
      <w:b/>
      <w:sz w:val="28"/>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4760</Words>
  <Characters>5117</Characters>
  <Lines>0</Lines>
  <Paragraphs>0</Paragraphs>
  <TotalTime>1</TotalTime>
  <ScaleCrop>false</ScaleCrop>
  <LinksUpToDate>false</LinksUpToDate>
  <CharactersWithSpaces>5125</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2022-10-25T04:03:00Z</dcterms:created>
  <dc:creator>Administrator</dc:creator>
  <cp:lastModifiedBy>陈罗凤</cp:lastModifiedBy>
  <dcterms:modified xsi:type="dcterms:W3CDTF">2022-10-26T03:01:30Z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EEBD0109810543F28AB815FE7DF3F68C</vt:lpwstr>
  </property>
</Properties>
</file>